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0" w:type="auto"/>
        <w:tblInd w:w="336" w:type="dxa"/>
        <w:tblLayout w:type="fixed"/>
        <w:tblLook w:val="04A0" w:firstRow="1" w:lastRow="0" w:firstColumn="1" w:lastColumn="0" w:noHBand="0" w:noVBand="1"/>
      </w:tblPr>
      <w:tblGrid>
        <w:gridCol w:w="1027"/>
        <w:gridCol w:w="1018"/>
        <w:gridCol w:w="2275"/>
        <w:gridCol w:w="2087"/>
        <w:gridCol w:w="2087"/>
      </w:tblGrid>
      <w:tr w:rsidR="000D6953" w:rsidTr="00382306">
        <w:trPr>
          <w:trHeight w:val="21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bookmarkStart w:id="0" w:name="_GoBack"/>
            <w:bookmarkEnd w:id="0"/>
            <w:r w:rsidRPr="00430FE0">
              <w:rPr>
                <w:rFonts w:ascii="Bookman Old Style" w:hAnsi="Bookman Old Style" w:cs="Arial"/>
                <w:b/>
                <w:sz w:val="16"/>
              </w:rPr>
              <w:t>CÓDIGO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 w:rsidRPr="00430FE0">
              <w:rPr>
                <w:rFonts w:ascii="Bookman Old Style" w:hAnsi="Bookman Old Style" w:cs="Arial"/>
                <w:sz w:val="16"/>
              </w:rPr>
              <w:t>GCF-001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430FE0">
              <w:rPr>
                <w:rFonts w:ascii="Bookman Old Style" w:hAnsi="Bookman Old Style" w:cs="Arial"/>
                <w:b/>
                <w:sz w:val="16"/>
              </w:rPr>
              <w:t>ELABORÓ</w:t>
            </w:r>
          </w:p>
          <w:p w:rsidR="000D6953" w:rsidRPr="00430FE0" w:rsidRDefault="00F004D8" w:rsidP="00382306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 w:rsidRPr="00430FE0">
              <w:rPr>
                <w:rFonts w:ascii="Bookman Old Style" w:hAnsi="Bookman Old Style" w:cs="Arial"/>
                <w:sz w:val="16"/>
              </w:rPr>
              <w:t>Grupo</w:t>
            </w:r>
            <w:r w:rsidR="000D6953" w:rsidRPr="00430FE0">
              <w:rPr>
                <w:rFonts w:ascii="Bookman Old Style" w:hAnsi="Bookman Old Style" w:cs="Arial"/>
                <w:sz w:val="16"/>
              </w:rPr>
              <w:t xml:space="preserve"> Operativo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430FE0">
              <w:rPr>
                <w:rFonts w:ascii="Bookman Old Style" w:hAnsi="Bookman Old Style" w:cs="Arial"/>
                <w:b/>
                <w:sz w:val="16"/>
              </w:rPr>
              <w:t>REVISÓ</w:t>
            </w:r>
          </w:p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 w:rsidRPr="00430FE0">
              <w:rPr>
                <w:rFonts w:ascii="Bookman Old Style" w:hAnsi="Bookman Old Style" w:cs="Arial"/>
                <w:sz w:val="16"/>
              </w:rPr>
              <w:t>Responsable del Proceso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430FE0">
              <w:rPr>
                <w:rFonts w:ascii="Bookman Old Style" w:hAnsi="Bookman Old Style" w:cs="Arial"/>
                <w:b/>
                <w:sz w:val="16"/>
              </w:rPr>
              <w:t>APROBÓ</w:t>
            </w:r>
          </w:p>
          <w:p w:rsidR="000D6953" w:rsidRPr="00430FE0" w:rsidRDefault="000D6953" w:rsidP="00F004D8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 w:rsidRPr="00430FE0">
              <w:rPr>
                <w:rFonts w:ascii="Bookman Old Style" w:hAnsi="Bookman Old Style" w:cs="Arial"/>
                <w:sz w:val="16"/>
              </w:rPr>
              <w:t>Comité de</w:t>
            </w:r>
            <w:r w:rsidR="00F004D8" w:rsidRPr="00430FE0">
              <w:rPr>
                <w:rFonts w:ascii="Bookman Old Style" w:hAnsi="Bookman Old Style" w:cs="Arial"/>
                <w:sz w:val="16"/>
              </w:rPr>
              <w:t>l SIG</w:t>
            </w:r>
            <w:r w:rsidRPr="00430FE0">
              <w:rPr>
                <w:rFonts w:ascii="Bookman Old Style" w:hAnsi="Bookman Old Style" w:cs="Arial"/>
                <w:sz w:val="16"/>
              </w:rPr>
              <w:t xml:space="preserve"> </w:t>
            </w:r>
          </w:p>
        </w:tc>
      </w:tr>
      <w:tr w:rsidR="000D6953" w:rsidTr="0038230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430FE0">
              <w:rPr>
                <w:rFonts w:ascii="Bookman Old Style" w:hAnsi="Bookman Old Style" w:cs="Arial"/>
                <w:b/>
                <w:sz w:val="16"/>
              </w:rPr>
              <w:t>VERSIÓN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 w:rsidRPr="00430FE0">
              <w:rPr>
                <w:rFonts w:ascii="Bookman Old Style" w:hAnsi="Bookman Old Style" w:cs="Arial"/>
                <w:sz w:val="16"/>
              </w:rPr>
              <w:t>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430FE0">
              <w:rPr>
                <w:rFonts w:ascii="Bookman Old Style" w:hAnsi="Bookman Old Style" w:cs="Arial"/>
                <w:b/>
                <w:sz w:val="16"/>
              </w:rPr>
              <w:t>FECHA</w:t>
            </w:r>
          </w:p>
          <w:p w:rsidR="000D6953" w:rsidRPr="008F3597" w:rsidRDefault="005527E4" w:rsidP="00382306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sz w:val="16"/>
              </w:rPr>
              <w:t>28</w:t>
            </w:r>
            <w:r w:rsidR="008F3597">
              <w:rPr>
                <w:rFonts w:ascii="Bookman Old Style" w:hAnsi="Bookman Old Style" w:cs="Arial"/>
                <w:sz w:val="16"/>
              </w:rPr>
              <w:t>/07/2016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430FE0">
              <w:rPr>
                <w:rFonts w:ascii="Bookman Old Style" w:hAnsi="Bookman Old Style" w:cs="Arial"/>
                <w:b/>
                <w:sz w:val="16"/>
              </w:rPr>
              <w:t>FECHA</w:t>
            </w:r>
          </w:p>
          <w:p w:rsidR="000D6953" w:rsidRPr="00430FE0" w:rsidRDefault="005527E4" w:rsidP="00382306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sz w:val="16"/>
              </w:rPr>
              <w:t>28</w:t>
            </w:r>
            <w:r w:rsidR="008F3597">
              <w:rPr>
                <w:rFonts w:ascii="Bookman Old Style" w:hAnsi="Bookman Old Style" w:cs="Arial"/>
                <w:sz w:val="16"/>
              </w:rPr>
              <w:t>/07/2016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53" w:rsidRPr="00430FE0" w:rsidRDefault="000D6953" w:rsidP="00382306">
            <w:pPr>
              <w:spacing w:line="240" w:lineRule="auto"/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430FE0">
              <w:rPr>
                <w:rFonts w:ascii="Bookman Old Style" w:hAnsi="Bookman Old Style" w:cs="Arial"/>
                <w:b/>
                <w:sz w:val="16"/>
              </w:rPr>
              <w:t>FECHA</w:t>
            </w:r>
          </w:p>
          <w:p w:rsidR="000D6953" w:rsidRPr="00430FE0" w:rsidRDefault="004734D1" w:rsidP="00382306">
            <w:pPr>
              <w:spacing w:line="240" w:lineRule="auto"/>
              <w:jc w:val="center"/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sz w:val="16"/>
              </w:rPr>
              <w:t>05/10/2016</w:t>
            </w:r>
          </w:p>
        </w:tc>
      </w:tr>
    </w:tbl>
    <w:p w:rsidR="000D6953" w:rsidRDefault="000D6953" w:rsidP="000D6953"/>
    <w:p w:rsidR="000D6953" w:rsidRPr="00CF2FB3" w:rsidRDefault="00695970" w:rsidP="00695970">
      <w:pPr>
        <w:tabs>
          <w:tab w:val="left" w:pos="1065"/>
          <w:tab w:val="center" w:pos="442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0D6953" w:rsidRPr="00CF2FB3">
        <w:rPr>
          <w:rFonts w:ascii="Bookman Old Style" w:hAnsi="Bookman Old Style"/>
          <w:b/>
        </w:rPr>
        <w:t>FORMATO CARACTERIZACIÓN</w:t>
      </w:r>
    </w:p>
    <w:p w:rsidR="000D6953" w:rsidRPr="00CF2FB3" w:rsidRDefault="000D6953" w:rsidP="000D6953">
      <w:pPr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 xml:space="preserve">NOMBRE DEL PROCESO: </w:t>
      </w:r>
      <w:r w:rsidRPr="00CF2FB3">
        <w:rPr>
          <w:rFonts w:ascii="Bookman Old Style" w:hAnsi="Bookman Old Style"/>
        </w:rPr>
        <w:t>Gestión del conocimiento jurisprudencial</w:t>
      </w:r>
    </w:p>
    <w:p w:rsidR="000D6953" w:rsidRPr="00CF2FB3" w:rsidRDefault="000D6953" w:rsidP="000D6953">
      <w:pPr>
        <w:pStyle w:val="Prrafodelista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UBICACIÓN DEL PROCESO:</w:t>
      </w:r>
      <w:r w:rsidRPr="00CF2FB3">
        <w:rPr>
          <w:rFonts w:ascii="Bookman Old Style" w:hAnsi="Bookman Old Style"/>
        </w:rPr>
        <w:t xml:space="preserve"> Nivel Misional</w:t>
      </w:r>
    </w:p>
    <w:p w:rsidR="000D6953" w:rsidRPr="00CF2FB3" w:rsidRDefault="000D6953" w:rsidP="000D6953">
      <w:pPr>
        <w:pStyle w:val="Prrafodelista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OBJETIVO PROCESO</w:t>
      </w:r>
      <w:r w:rsidRPr="00CF2FB3">
        <w:rPr>
          <w:rFonts w:ascii="Bookman Old Style" w:hAnsi="Bookman Old Style"/>
        </w:rPr>
        <w:t xml:space="preserve">: Gestionar y administrar el conocimiento de la jurisprudencia proferida por la Sala de Casación Civil de la Corte Suprema de Justicia por medio del análisis de providencias y la formación de su doctrina,  para su divulgación y consulta, teniendo como finalidad la satisfacción del usuario, el uso racional y responsable de los recursos y la implementación de buenas prácticas ambientales en el desarrollo de las actividades propias del proceso.   </w:t>
      </w:r>
    </w:p>
    <w:p w:rsidR="000D6953" w:rsidRPr="00CF2FB3" w:rsidRDefault="000D6953" w:rsidP="000D6953">
      <w:pPr>
        <w:pStyle w:val="Prrafodelista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MARCO NORMATIVO:</w:t>
      </w:r>
      <w:r w:rsidRPr="00CF2FB3">
        <w:rPr>
          <w:rFonts w:ascii="Bookman Old Style" w:hAnsi="Bookman Old Style"/>
        </w:rPr>
        <w:t xml:space="preserve"> NT</w:t>
      </w:r>
      <w:r w:rsidR="00CC0DF0">
        <w:rPr>
          <w:rFonts w:ascii="Bookman Old Style" w:hAnsi="Bookman Old Style"/>
        </w:rPr>
        <w:t>C-</w:t>
      </w:r>
      <w:r w:rsidRPr="00CF2FB3">
        <w:rPr>
          <w:rFonts w:ascii="Bookman Old Style" w:hAnsi="Bookman Old Style"/>
        </w:rPr>
        <w:t xml:space="preserve">GP 1000:2009, NTC ISO 9001:2015,  NTC ISO 14001:2015, ver Listado Maestro de Documentos Externos y Normatividad. </w:t>
      </w:r>
    </w:p>
    <w:p w:rsidR="00DC1F6A" w:rsidRPr="00CF2FB3" w:rsidRDefault="00DC1F6A" w:rsidP="00DC1F6A">
      <w:pPr>
        <w:pStyle w:val="Prrafodelista"/>
        <w:rPr>
          <w:rFonts w:ascii="Bookman Old Style" w:hAnsi="Bookman Old Style"/>
        </w:rPr>
      </w:pPr>
    </w:p>
    <w:p w:rsidR="00DC1F6A" w:rsidRPr="00CF2FB3" w:rsidRDefault="000D6953" w:rsidP="00DC1F6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ALCANCE PROCESO:</w:t>
      </w:r>
      <w:r w:rsidR="00DC1F6A" w:rsidRPr="00CF2FB3">
        <w:rPr>
          <w:rFonts w:ascii="Bookman Old Style" w:hAnsi="Bookman Old Style"/>
        </w:rPr>
        <w:t xml:space="preserve"> Es transversal a toda la organización inicia con definir los procedimientos, metodologías, requisitos, formatos y normas para el desarrollo del proceso de Gestión del conocimiento jurisprudencial y finaliza con Tomar acciones correctivas y preventivas del Sistema Integrado de la  Sala de Casación Civil de la Corte Suprema de Justicia.</w:t>
      </w:r>
    </w:p>
    <w:p w:rsidR="00DC1F6A" w:rsidRPr="00CF2FB3" w:rsidRDefault="00DC1F6A" w:rsidP="00DC1F6A">
      <w:pPr>
        <w:pStyle w:val="Prrafodelista"/>
        <w:rPr>
          <w:rFonts w:ascii="Bookman Old Style" w:hAnsi="Bookman Old Style"/>
        </w:rPr>
      </w:pPr>
    </w:p>
    <w:p w:rsidR="000D6953" w:rsidRPr="00CF2FB3" w:rsidRDefault="000D6953" w:rsidP="0095377B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RESPONSABLE:</w:t>
      </w:r>
      <w:r w:rsidRPr="00CF2FB3">
        <w:rPr>
          <w:rFonts w:ascii="Bookman Old Style" w:hAnsi="Bookman Old Style"/>
        </w:rPr>
        <w:t xml:space="preserve"> Líder del Proceso de Gestión del Conocimiento Jurisprudencial.</w:t>
      </w:r>
    </w:p>
    <w:p w:rsidR="000D6953" w:rsidRPr="00CF2FB3" w:rsidRDefault="000D6953" w:rsidP="000D6953">
      <w:pPr>
        <w:pStyle w:val="Prrafodelista"/>
        <w:ind w:left="644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PROVEEDORES E INSUMOS:</w:t>
      </w:r>
    </w:p>
    <w:p w:rsidR="000D6953" w:rsidRPr="00CF2FB3" w:rsidRDefault="000D6953" w:rsidP="000D6953">
      <w:pPr>
        <w:pStyle w:val="Prrafodelista"/>
        <w:rPr>
          <w:rFonts w:ascii="Bookman Old Style" w:hAnsi="Bookman Old Sty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CF2FB3">
              <w:rPr>
                <w:rFonts w:ascii="Bookman Old Style" w:hAnsi="Bookman Old Style"/>
                <w:b/>
              </w:rPr>
              <w:t>Proveedores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CF2FB3">
              <w:rPr>
                <w:rFonts w:ascii="Bookman Old Style" w:hAnsi="Bookman Old Style"/>
                <w:b/>
              </w:rPr>
              <w:t>Entrada/Insumos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 xml:space="preserve">Nación 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Constitución Política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Organismos Internacionales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Tratados y Convenios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Congreso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 xml:space="preserve">Leyes, Actos Legislativos, Plan Nacional de Desarrollo 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Gobierno Nacional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Decretos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 xml:space="preserve">Corte Suprema de Justicia 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Acuerdos, Políticas, Reglamentos y Resoluciones.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Consejo Superior de la Judicatura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Plan Sectorial de desarrollo y Acuerdos.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 xml:space="preserve">Organismo de normalización 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Normas NTGP-1000:2009; NTC ISO 9001:2015 y NTC ISO 14001:2015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  <w:vAlign w:val="center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lastRenderedPageBreak/>
              <w:t>Direccionamiento Estratégico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Directrices Sistema Integrado de Gestión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Organismos Normatividad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Normas de Calidad ICONTEC y NTGP 1000:2009</w:t>
            </w:r>
          </w:p>
        </w:tc>
      </w:tr>
      <w:tr w:rsidR="000D6953" w:rsidRPr="00CF2FB3" w:rsidTr="00382306">
        <w:tc>
          <w:tcPr>
            <w:tcW w:w="496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Todos los procesos del Sistema Integrado de Gestión</w:t>
            </w:r>
          </w:p>
        </w:tc>
        <w:tc>
          <w:tcPr>
            <w:tcW w:w="4111" w:type="dxa"/>
            <w:shd w:val="clear" w:color="auto" w:fill="auto"/>
          </w:tcPr>
          <w:p w:rsidR="000D6953" w:rsidRPr="00CF2FB3" w:rsidRDefault="000D6953" w:rsidP="00382306">
            <w:pPr>
              <w:pStyle w:val="Prrafodelista"/>
              <w:spacing w:after="0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 xml:space="preserve">Soporte </w:t>
            </w:r>
          </w:p>
        </w:tc>
      </w:tr>
      <w:tr w:rsidR="000D6953" w:rsidRPr="00CF2FB3" w:rsidTr="00382306">
        <w:trPr>
          <w:trHeight w:val="332"/>
        </w:trPr>
        <w:tc>
          <w:tcPr>
            <w:tcW w:w="4961" w:type="dxa"/>
            <w:shd w:val="clear" w:color="auto" w:fill="auto"/>
            <w:vAlign w:val="center"/>
          </w:tcPr>
          <w:p w:rsidR="000D6953" w:rsidRPr="00CF2FB3" w:rsidRDefault="000D6953" w:rsidP="00382306">
            <w:pPr>
              <w:pStyle w:val="Prrafodelista"/>
              <w:ind w:left="0"/>
              <w:rPr>
                <w:rFonts w:ascii="Bookman Old Style" w:hAnsi="Bookman Old Style"/>
              </w:rPr>
            </w:pPr>
            <w:r w:rsidRPr="00CF2FB3">
              <w:rPr>
                <w:rFonts w:ascii="Bookman Old Style" w:hAnsi="Bookman Old Style"/>
              </w:rPr>
              <w:t>Partes Interesadas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6953" w:rsidRPr="00CF2FB3" w:rsidRDefault="00465D00" w:rsidP="00382306">
            <w:pPr>
              <w:pStyle w:val="Prrafodelista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Derechos de petición</w:t>
            </w:r>
            <w:r w:rsidR="002F3A52">
              <w:rPr>
                <w:rFonts w:ascii="Bookman Old Style" w:hAnsi="Bookman Old Style"/>
              </w:rPr>
              <w:t xml:space="preserve">, copia </w:t>
            </w:r>
            <w:r w:rsidR="005527E4">
              <w:rPr>
                <w:rFonts w:ascii="Bookman Old Style" w:hAnsi="Bookman Old Style"/>
              </w:rPr>
              <w:t xml:space="preserve">digital </w:t>
            </w:r>
            <w:r w:rsidR="002F3A52">
              <w:rPr>
                <w:rFonts w:ascii="Bookman Old Style" w:hAnsi="Bookman Old Style"/>
              </w:rPr>
              <w:t>de p</w:t>
            </w:r>
            <w:r w:rsidR="000D6953" w:rsidRPr="00CF2FB3">
              <w:rPr>
                <w:rFonts w:ascii="Bookman Old Style" w:hAnsi="Bookman Old Style"/>
              </w:rPr>
              <w:t>rovidencias.</w:t>
            </w:r>
          </w:p>
        </w:tc>
      </w:tr>
    </w:tbl>
    <w:p w:rsidR="000D6953" w:rsidRPr="00CF2FB3" w:rsidRDefault="000D6953" w:rsidP="000D6953">
      <w:pPr>
        <w:pStyle w:val="Prrafodelista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RECURSOS:</w:t>
      </w:r>
    </w:p>
    <w:p w:rsidR="000D6953" w:rsidRPr="00CF2FB3" w:rsidRDefault="000D6953" w:rsidP="000D6953">
      <w:pPr>
        <w:pStyle w:val="Prrafodelista"/>
        <w:ind w:left="644"/>
        <w:jc w:val="both"/>
        <w:rPr>
          <w:rFonts w:ascii="Bookman Old Style" w:hAnsi="Bookman Old Style"/>
          <w:b/>
        </w:rPr>
      </w:pPr>
    </w:p>
    <w:p w:rsidR="000D6953" w:rsidRPr="00CF2FB3" w:rsidRDefault="000D6953" w:rsidP="000D6953">
      <w:pPr>
        <w:pStyle w:val="Prrafodelista"/>
        <w:ind w:left="644"/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 xml:space="preserve">Talento humano: </w:t>
      </w:r>
      <w:r w:rsidRPr="00CF2FB3">
        <w:rPr>
          <w:rFonts w:ascii="Bookman Old Style" w:hAnsi="Bookman Old Style"/>
        </w:rPr>
        <w:t>Servidores judiciales.</w:t>
      </w:r>
    </w:p>
    <w:p w:rsidR="000D6953" w:rsidRPr="00CF2FB3" w:rsidRDefault="000D6953" w:rsidP="000D6953">
      <w:pPr>
        <w:pStyle w:val="Prrafodelista"/>
        <w:ind w:left="644"/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 xml:space="preserve">Recursos tecnológicos: </w:t>
      </w:r>
      <w:r w:rsidRPr="00CF2FB3">
        <w:rPr>
          <w:rFonts w:ascii="Bookman Old Style" w:hAnsi="Bookman Old Style"/>
        </w:rPr>
        <w:t>Equipos de cómputo, impresoras, escáner, fax, fotocopiadora.</w:t>
      </w:r>
    </w:p>
    <w:p w:rsidR="000D6953" w:rsidRPr="00CF2FB3" w:rsidRDefault="000D6953" w:rsidP="000D6953">
      <w:pPr>
        <w:pStyle w:val="Prrafodelista"/>
        <w:ind w:left="644"/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 xml:space="preserve">Mobiliario: </w:t>
      </w:r>
      <w:r w:rsidRPr="00CF2FB3">
        <w:rPr>
          <w:rFonts w:ascii="Bookman Old Style" w:hAnsi="Bookman Old Style"/>
        </w:rPr>
        <w:t>Escritorios, descansa pies, sillas.</w:t>
      </w:r>
    </w:p>
    <w:p w:rsidR="000D6953" w:rsidRPr="00CF2FB3" w:rsidRDefault="000D6953" w:rsidP="000D6953">
      <w:pPr>
        <w:pStyle w:val="Prrafodelista"/>
        <w:ind w:left="644"/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Instalaciones:</w:t>
      </w:r>
      <w:r w:rsidRPr="00CF2FB3">
        <w:rPr>
          <w:rFonts w:ascii="Bookman Old Style" w:hAnsi="Bookman Old Style"/>
        </w:rPr>
        <w:t xml:space="preserve"> Oficinas Relatoría Sala de Casación Civil Corte Suprema de Justicia.</w:t>
      </w:r>
    </w:p>
    <w:p w:rsidR="000D6953" w:rsidRPr="00CF2FB3" w:rsidRDefault="000D6953" w:rsidP="000D6953">
      <w:pPr>
        <w:pStyle w:val="Prrafodelista"/>
        <w:ind w:left="644"/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Herramientas ofimáticas:</w:t>
      </w:r>
      <w:r w:rsidRPr="00CF2FB3">
        <w:rPr>
          <w:rFonts w:ascii="Bookman Old Style" w:hAnsi="Bookman Old Style"/>
        </w:rPr>
        <w:t xml:space="preserve"> Software Office, Sistemas de información de jurisprudencia</w:t>
      </w:r>
    </w:p>
    <w:p w:rsidR="000D6953" w:rsidRPr="00CF2FB3" w:rsidRDefault="000D6953" w:rsidP="000D6953">
      <w:pPr>
        <w:pStyle w:val="Prrafodelista"/>
        <w:ind w:left="644"/>
        <w:rPr>
          <w:rFonts w:ascii="Bookman Old Style" w:hAnsi="Bookman Old Style"/>
          <w:b/>
          <w:highlight w:val="yellow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CONTROLES GENERALES DEL PROCESO:</w:t>
      </w:r>
    </w:p>
    <w:p w:rsidR="000D6953" w:rsidRPr="00CF2FB3" w:rsidRDefault="000D6953" w:rsidP="000D6953">
      <w:pPr>
        <w:pStyle w:val="Prrafodelista"/>
        <w:ind w:left="644"/>
        <w:rPr>
          <w:rFonts w:ascii="Bookman Old Style" w:hAnsi="Bookman Old Style"/>
          <w:b/>
        </w:rPr>
      </w:pPr>
    </w:p>
    <w:p w:rsidR="000D6953" w:rsidRPr="00CF2FB3" w:rsidRDefault="000D6953" w:rsidP="000D6953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</w:rPr>
        <w:t>Aplicación de los procedimientos establecidos.</w:t>
      </w:r>
    </w:p>
    <w:p w:rsidR="000D6953" w:rsidRPr="00CF2FB3" w:rsidRDefault="000D6953" w:rsidP="000D6953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</w:rPr>
        <w:t>Autoevaluaciones</w:t>
      </w:r>
    </w:p>
    <w:p w:rsidR="000D6953" w:rsidRPr="00CF2FB3" w:rsidRDefault="000D6953" w:rsidP="000D6953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</w:rPr>
        <w:t>Listado Maestro de Documentos Externos y Normatividad.</w:t>
      </w:r>
    </w:p>
    <w:p w:rsidR="000D6953" w:rsidRPr="00CF2FB3" w:rsidRDefault="000D6953" w:rsidP="000D6953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</w:rPr>
        <w:t>Listado Maestro de Documentos Internos</w:t>
      </w:r>
    </w:p>
    <w:p w:rsidR="000D6953" w:rsidRPr="00CF2FB3" w:rsidRDefault="000D6953" w:rsidP="000D6953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CF2FB3">
        <w:rPr>
          <w:rFonts w:ascii="Bookman Old Style" w:hAnsi="Bookman Old Style"/>
        </w:rPr>
        <w:t>Manuales, formatos y requisitos de los procedimientos.</w:t>
      </w:r>
    </w:p>
    <w:p w:rsidR="000D6953" w:rsidRPr="00CF2FB3" w:rsidRDefault="000D6953" w:rsidP="000D6953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CF2FB3">
        <w:rPr>
          <w:rFonts w:ascii="Bookman Old Style" w:hAnsi="Bookman Old Style"/>
        </w:rPr>
        <w:t>Revisión del jefe inmediato</w:t>
      </w:r>
    </w:p>
    <w:p w:rsidR="000D6953" w:rsidRPr="00CF2FB3" w:rsidRDefault="000D6953" w:rsidP="000D6953">
      <w:pPr>
        <w:pStyle w:val="Prrafodelista"/>
        <w:numPr>
          <w:ilvl w:val="0"/>
          <w:numId w:val="2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</w:rPr>
        <w:t>Informes anuales/trimestrales</w:t>
      </w:r>
    </w:p>
    <w:p w:rsidR="000D6953" w:rsidRPr="00CF2FB3" w:rsidRDefault="000D6953" w:rsidP="000D69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CF2FB3">
        <w:rPr>
          <w:rFonts w:ascii="Bookman Old Style" w:hAnsi="Bookman Old Style" w:cs="Arial"/>
        </w:rPr>
        <w:t>Formato de Reparto de providencias-relacionado al procedimiento de análisis jurisprudencial de providencias.</w:t>
      </w:r>
    </w:p>
    <w:p w:rsidR="000D6953" w:rsidRDefault="000D6953" w:rsidP="000D69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CF2FB3">
        <w:rPr>
          <w:rFonts w:ascii="Bookman Old Style" w:hAnsi="Bookman Old Style" w:cs="Arial"/>
          <w:bCs/>
        </w:rPr>
        <w:t>Formato de análisis de providencia</w:t>
      </w:r>
      <w:r w:rsidRPr="00CF2FB3">
        <w:rPr>
          <w:rFonts w:ascii="Bookman Old Style" w:hAnsi="Bookman Old Style" w:cs="Arial"/>
        </w:rPr>
        <w:t>-relacionado al procedimiento de análisis jurisprudencial de providencias</w:t>
      </w:r>
      <w:r w:rsidRPr="00CF2FB3">
        <w:rPr>
          <w:rFonts w:ascii="Bookman Old Style" w:hAnsi="Bookman Old Style" w:cs="Arial"/>
          <w:bCs/>
        </w:rPr>
        <w:t xml:space="preserve">. </w:t>
      </w:r>
      <w:r w:rsidRPr="00CF2FB3">
        <w:rPr>
          <w:rFonts w:ascii="Bookman Old Style" w:hAnsi="Bookman Old Style" w:cs="Arial"/>
        </w:rPr>
        <w:t xml:space="preserve"> </w:t>
      </w:r>
    </w:p>
    <w:p w:rsidR="00951CDB" w:rsidRPr="00951CDB" w:rsidRDefault="00951CDB" w:rsidP="00951C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CF2FB3">
        <w:rPr>
          <w:rFonts w:ascii="Bookman Old Style" w:hAnsi="Bookman Old Style" w:cs="Arial"/>
        </w:rPr>
        <w:t>Anexo índice alfabético de temas-relacionado al procedimiento de análisis jurisprudencial de providencias.</w:t>
      </w:r>
    </w:p>
    <w:p w:rsidR="000D6953" w:rsidRDefault="00123772" w:rsidP="000D69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Formato </w:t>
      </w:r>
      <w:r w:rsidR="000D6953" w:rsidRPr="00CF2FB3">
        <w:rPr>
          <w:rFonts w:ascii="Bookman Old Style" w:hAnsi="Bookman Old Style" w:cs="Arial"/>
        </w:rPr>
        <w:t>Bitácora general de consulta de jurisprudencia - relacionada al procedimiento de consulta jurisprudencial.</w:t>
      </w:r>
    </w:p>
    <w:p w:rsidR="00951CDB" w:rsidRPr="00CF2FB3" w:rsidRDefault="00951CDB" w:rsidP="000D69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Formato Registro de Nuevo Usuario </w:t>
      </w:r>
      <w:r w:rsidR="0039460E">
        <w:rPr>
          <w:rFonts w:ascii="Bookman Old Style" w:hAnsi="Bookman Old Style" w:cs="Arial"/>
        </w:rPr>
        <w:t>–relacionado al procedimiento de divulgación de información jurisprudencial</w:t>
      </w:r>
    </w:p>
    <w:p w:rsidR="000D6953" w:rsidRPr="00CF2FB3" w:rsidRDefault="000D6953" w:rsidP="000D6953">
      <w:pPr>
        <w:rPr>
          <w:rFonts w:ascii="Bookman Old Style" w:hAnsi="Bookman Old Style"/>
          <w:b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DESCRIPCIÓN PROCESO (Ciclo PHVA)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746"/>
        <w:gridCol w:w="1940"/>
      </w:tblGrid>
      <w:tr w:rsidR="000D6953" w:rsidRPr="009E3906" w:rsidTr="00496F27">
        <w:trPr>
          <w:tblHeader/>
        </w:trPr>
        <w:tc>
          <w:tcPr>
            <w:tcW w:w="1129" w:type="dxa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ETAPA</w:t>
            </w:r>
          </w:p>
        </w:tc>
        <w:tc>
          <w:tcPr>
            <w:tcW w:w="2127" w:type="dxa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ACTIVIDAD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DESCRIPCIÓN</w:t>
            </w:r>
          </w:p>
        </w:tc>
        <w:tc>
          <w:tcPr>
            <w:tcW w:w="1746" w:type="dxa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 xml:space="preserve">PRODUCTOS </w:t>
            </w:r>
          </w:p>
        </w:tc>
        <w:tc>
          <w:tcPr>
            <w:tcW w:w="1940" w:type="dxa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RESPONSABLE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P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Definir los procedimientos, metodologías, requisitos, formatos y normas para el desarrollo del proceso de Gestión del conocimiento jurisprudencial y el cumplimiento de la política del Sistema Integrado de Gestión</w:t>
            </w:r>
          </w:p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 definen los parámetros en que se apoyará la gestión del conocimiento de la jurisprudencia proferida por la Sala de Casación Civil de la Corte Suprema de Justicia y el cumplimiento de la política de calidad y medio ambiente.</w:t>
            </w: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Planeación de metodologías, procedimientos, formatos y manuales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Líder del proceso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  <w:b/>
              </w:rPr>
              <w:t>H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Analizar las providencias proferidas por la Sala de Casación Civil de la Corte Suprema de Justicia.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 realiza el análisis jurisprudencial de las providencias puestas a disposición por los despachos que integran la Sala de Casación Civil de la Corte Suprema de Justicia de acuerdo al Procedimiento y el Manual de Análisis de providencias.</w:t>
            </w:r>
          </w:p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Registro de Análisis de Providencias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Líder del proceso y  Servidor judicial encargado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  <w:b/>
              </w:rPr>
              <w:t>H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Ingresar datos al sistema de información de jurisprudencia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 ingresa al sistema de información de jurisprudencia los datos necesarios para el análisis de la providencia, así como el texto de las mismas, de acuerdo al Procedimiento de Análisis jurisprudencial  y a los Manuales externos de administrador de los sistemas de información de jurisprudencia.</w:t>
            </w: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Reporte de datos ingresados al</w:t>
            </w:r>
          </w:p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sistema de información de jurisprudencia 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Servidor judicial encargado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</w:p>
          <w:p w:rsidR="000D6953" w:rsidRPr="009E3906" w:rsidRDefault="00E535EF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D</w:t>
            </w:r>
            <w:r w:rsidR="000D6953" w:rsidRPr="009E3906">
              <w:rPr>
                <w:rFonts w:ascii="Bookman Old Style" w:hAnsi="Bookman Old Style"/>
              </w:rPr>
              <w:t>ivulgar las providencias y la doctrina jurisprudencial de la Sala de Casación Civil de la Corte Suprema de Justicia.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</w:p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Se realiza la divulgación de las providencias y la doctrina jurisprudencial de la Sala Civil de la Corte Suprema de Justicia, a través de los diferentes medios previstos para tal fin, de acuerdo al Manual y procedimiento de </w:t>
            </w:r>
            <w:r w:rsidR="00E535EF" w:rsidRPr="009E3906">
              <w:rPr>
                <w:rFonts w:ascii="Bookman Old Style" w:hAnsi="Bookman Old Style"/>
              </w:rPr>
              <w:t>D</w:t>
            </w:r>
            <w:r w:rsidR="00F41F08" w:rsidRPr="009E3906">
              <w:rPr>
                <w:rFonts w:ascii="Bookman Old Style" w:hAnsi="Bookman Old Style"/>
              </w:rPr>
              <w:t>ivulgación de Jurisprudencia.</w:t>
            </w:r>
          </w:p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</w:p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Publicaciones</w:t>
            </w:r>
          </w:p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Servidor judicial encargado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  <w:b/>
              </w:rPr>
              <w:t>H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4D7497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Absolver consultas jurisprudenciales 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 da oportuna respuesta a las consultas que sobre temas jurisprudenciales sean elevadas por usuarios internos y externos, de acuerdo al Manual, Procedimiento y Formato Bitácora General de Consultas jurispruden</w:t>
            </w:r>
            <w:r w:rsidR="001225AB">
              <w:rPr>
                <w:rFonts w:ascii="Bookman Old Style" w:hAnsi="Bookman Old Style"/>
              </w:rPr>
              <w:t>-</w:t>
            </w:r>
            <w:r w:rsidRPr="009E3906">
              <w:rPr>
                <w:rFonts w:ascii="Bookman Old Style" w:hAnsi="Bookman Old Style"/>
              </w:rPr>
              <w:t xml:space="preserve">ciales. </w:t>
            </w:r>
          </w:p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Respuestas a consultas </w:t>
            </w:r>
            <w:r w:rsidR="004734D1" w:rsidRPr="009E3906">
              <w:rPr>
                <w:rFonts w:ascii="Bookman Old Style" w:hAnsi="Bookman Old Style"/>
              </w:rPr>
              <w:t>jurispruden</w:t>
            </w:r>
            <w:r w:rsidR="004734D1">
              <w:rPr>
                <w:rFonts w:ascii="Bookman Old Style" w:hAnsi="Bookman Old Style"/>
              </w:rPr>
              <w:t>ci</w:t>
            </w:r>
            <w:r w:rsidR="004734D1" w:rsidRPr="009E3906">
              <w:rPr>
                <w:rFonts w:ascii="Bookman Old Style" w:hAnsi="Bookman Old Style"/>
              </w:rPr>
              <w:t>ales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Servidor judicial encargado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H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Aplicar los formatos diseñados para medir el nivel de satisfacción de los usuarios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Se da aplicación a los formatos diseñados para medir el nivel de satisfacción de los usuarios frente </w:t>
            </w:r>
            <w:r w:rsidR="00CF4AC7" w:rsidRPr="009E3906">
              <w:rPr>
                <w:rFonts w:ascii="Bookman Old Style" w:hAnsi="Bookman Old Style"/>
              </w:rPr>
              <w:t>al procedimiento de consulta jurisprudencial.</w:t>
            </w:r>
            <w:r w:rsidRPr="009E3906">
              <w:rPr>
                <w:rFonts w:ascii="Bookman Old Style" w:hAnsi="Bookman Old Style"/>
              </w:rPr>
              <w:t xml:space="preserve"> </w:t>
            </w:r>
          </w:p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6" w:type="dxa"/>
            <w:vAlign w:val="center"/>
          </w:tcPr>
          <w:p w:rsidR="000D6953" w:rsidRPr="009E3906" w:rsidRDefault="00CF4AC7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Registro de encuestas </w:t>
            </w:r>
            <w:r w:rsidR="000D6953" w:rsidRPr="009E3906">
              <w:rPr>
                <w:rFonts w:ascii="Bookman Old Style" w:hAnsi="Bookman Old Style"/>
              </w:rPr>
              <w:t xml:space="preserve"> </w:t>
            </w:r>
            <w:r w:rsidR="0083465F" w:rsidRPr="009E3906">
              <w:rPr>
                <w:rFonts w:ascii="Bookman Old Style" w:hAnsi="Bookman Old Style"/>
              </w:rPr>
              <w:t>de satisfacción del usuario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Servidores judiciales encargados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V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Revisar la aplicación de los procesos y procedimientos conforme con los lineamientos establecidos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A partir de la autoevaluación de los procesos y procedimientos o de los resultados de las auditorias de calidad (internas y externas) se verifica la unidad de criterio en la aplicación de los documentos establecidos.</w:t>
            </w:r>
          </w:p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Actas de autoevalua</w:t>
            </w:r>
            <w:r w:rsidR="001225AB">
              <w:rPr>
                <w:rFonts w:ascii="Bookman Old Style" w:hAnsi="Bookman Old Style"/>
              </w:rPr>
              <w:t>-</w:t>
            </w:r>
            <w:r w:rsidRPr="009E3906">
              <w:rPr>
                <w:rFonts w:ascii="Bookman Old Style" w:hAnsi="Bookman Old Style"/>
              </w:rPr>
              <w:t xml:space="preserve">ción 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Líder de Proceso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  <w:b/>
              </w:rPr>
              <w:t>V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Analizar </w:t>
            </w:r>
            <w:r w:rsidR="0083465F" w:rsidRPr="009E3906">
              <w:rPr>
                <w:rFonts w:ascii="Bookman Old Style" w:hAnsi="Bookman Old Style"/>
              </w:rPr>
              <w:t xml:space="preserve">los resultados de las </w:t>
            </w:r>
            <w:r w:rsidRPr="009E3906">
              <w:rPr>
                <w:rFonts w:ascii="Bookman Old Style" w:hAnsi="Bookman Old Style"/>
              </w:rPr>
              <w:t>encuestas de satisfacción del proceso de Gestión del conocimiento jurisprudencial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Semestralmente se analizan</w:t>
            </w:r>
            <w:r w:rsidR="00194477" w:rsidRPr="009E3906">
              <w:rPr>
                <w:rFonts w:ascii="Bookman Old Style" w:hAnsi="Bookman Old Style"/>
              </w:rPr>
              <w:t xml:space="preserve"> los resultados de </w:t>
            </w:r>
            <w:r w:rsidRPr="009E3906">
              <w:rPr>
                <w:rFonts w:ascii="Bookman Old Style" w:hAnsi="Bookman Old Style"/>
              </w:rPr>
              <w:t xml:space="preserve"> las encuestas de satisfacción al usuario, con el fin de determinar las fortalezas y debilidades de la prestación del servicio. </w:t>
            </w:r>
          </w:p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6" w:type="dxa"/>
            <w:vAlign w:val="center"/>
          </w:tcPr>
          <w:p w:rsidR="000D6953" w:rsidRPr="009E3906" w:rsidRDefault="000D6953" w:rsidP="00194477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Informe</w:t>
            </w:r>
            <w:r w:rsidR="00194477" w:rsidRPr="009E3906">
              <w:rPr>
                <w:rFonts w:ascii="Bookman Old Style" w:hAnsi="Bookman Old Style"/>
              </w:rPr>
              <w:t>s</w:t>
            </w:r>
            <w:r w:rsidRPr="009E3906">
              <w:rPr>
                <w:rFonts w:ascii="Bookman Old Style" w:hAnsi="Bookman Old Style"/>
              </w:rPr>
              <w:t xml:space="preserve"> de  seguimiento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Servidor judicial asignado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  <w:b/>
              </w:rPr>
              <w:t>V</w:t>
            </w:r>
          </w:p>
        </w:tc>
        <w:tc>
          <w:tcPr>
            <w:tcW w:w="2127" w:type="dxa"/>
            <w:vAlign w:val="center"/>
          </w:tcPr>
          <w:p w:rsidR="000D6953" w:rsidRPr="009E3906" w:rsidRDefault="00194477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Presentar i</w:t>
            </w:r>
            <w:r w:rsidR="000D6953" w:rsidRPr="009E3906">
              <w:rPr>
                <w:rFonts w:ascii="Bookman Old Style" w:hAnsi="Bookman Old Style"/>
              </w:rPr>
              <w:t>nforme de gestión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Anualmente la Relatoría presenta informe a la Presidencia de la Sala donde indica las gestiones realizadas.</w:t>
            </w: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Informe anual de gestión 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Líder de proceso</w:t>
            </w:r>
          </w:p>
        </w:tc>
      </w:tr>
      <w:tr w:rsidR="000D6953" w:rsidRPr="009E3906" w:rsidTr="00496F27">
        <w:tc>
          <w:tcPr>
            <w:tcW w:w="1129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  <w:b/>
              </w:rPr>
            </w:pPr>
            <w:r w:rsidRPr="009E3906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2127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Tomar acciones correctivas y preventivas</w:t>
            </w:r>
          </w:p>
        </w:tc>
        <w:tc>
          <w:tcPr>
            <w:tcW w:w="1984" w:type="dxa"/>
          </w:tcPr>
          <w:p w:rsidR="000D6953" w:rsidRPr="009E3906" w:rsidRDefault="000D6953" w:rsidP="00382306">
            <w:pPr>
              <w:jc w:val="both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De las autoevaluaciones realizadas, de los resultados arrojados por las encuestas de satisfacción y de los hallazgos y no conformidades encontradas se toman las acciones correctivas y/o preventivas según el caso.</w:t>
            </w:r>
          </w:p>
        </w:tc>
        <w:tc>
          <w:tcPr>
            <w:tcW w:w="1746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 xml:space="preserve">Planes de mejora </w:t>
            </w:r>
          </w:p>
        </w:tc>
        <w:tc>
          <w:tcPr>
            <w:tcW w:w="1940" w:type="dxa"/>
            <w:vAlign w:val="center"/>
          </w:tcPr>
          <w:p w:rsidR="000D6953" w:rsidRPr="009E3906" w:rsidRDefault="000D6953" w:rsidP="00382306">
            <w:pPr>
              <w:jc w:val="center"/>
              <w:rPr>
                <w:rFonts w:ascii="Bookman Old Style" w:hAnsi="Bookman Old Style"/>
              </w:rPr>
            </w:pPr>
            <w:r w:rsidRPr="009E3906">
              <w:rPr>
                <w:rFonts w:ascii="Bookman Old Style" w:hAnsi="Bookman Old Style"/>
              </w:rPr>
              <w:t>Líder de proceso</w:t>
            </w:r>
          </w:p>
        </w:tc>
      </w:tr>
    </w:tbl>
    <w:p w:rsidR="000D6953" w:rsidRPr="00CF2FB3" w:rsidRDefault="000D6953" w:rsidP="000D6953">
      <w:pPr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MECANISMOS DE SEGUIMIENTO Y MEDICIÓN:</w:t>
      </w:r>
    </w:p>
    <w:p w:rsidR="000D6953" w:rsidRPr="00CF2FB3" w:rsidRDefault="000D6953" w:rsidP="000D6953">
      <w:pPr>
        <w:pStyle w:val="Prrafodelista"/>
        <w:ind w:left="644"/>
        <w:rPr>
          <w:rFonts w:ascii="Bookman Old Style" w:hAnsi="Bookman Old Style"/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0D6953" w:rsidRPr="005D000C" w:rsidTr="00382306">
        <w:trPr>
          <w:tblHeader/>
        </w:trPr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ITEMS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DESCRIPCIÓN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Nombre del Indicador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 w:cs="Arial"/>
                <w:sz w:val="20"/>
              </w:rPr>
              <w:t xml:space="preserve">Satisfacción del usuario de consulta jurisprudencial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Objetivo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jc w:val="both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Analizar la satisfacción de los usuarios en cuanto a la prestación del servicio de consulta jurisprudencial</w:t>
            </w:r>
          </w:p>
        </w:tc>
      </w:tr>
      <w:tr w:rsidR="000D6953" w:rsidRPr="005D000C" w:rsidTr="00382306">
        <w:trPr>
          <w:trHeight w:val="460"/>
        </w:trPr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Fórmula</w:t>
            </w:r>
          </w:p>
        </w:tc>
        <w:tc>
          <w:tcPr>
            <w:tcW w:w="6237" w:type="dxa"/>
          </w:tcPr>
          <w:p w:rsidR="000D6953" w:rsidRPr="005D000C" w:rsidRDefault="00F31500" w:rsidP="00382306">
            <w:pPr>
              <w:pStyle w:val="Prrafodelista"/>
              <w:ind w:left="0"/>
              <w:rPr>
                <w:rFonts w:ascii="Bookman Old Style" w:eastAsiaTheme="minorEastAsia" w:hAnsi="Bookman Old Style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sz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</w:rPr>
                          <m:t>No. de Encuestas con calificación ≥ 4</m:t>
                        </m:r>
                      </m:e>
                    </m:eqArr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</w:rPr>
                      <m:t>Total de Encuestas Realizadas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0"/>
                  </w:rPr>
                  <m:t>*100</m:t>
                </m:r>
              </m:oMath>
            </m:oMathPara>
          </w:p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eastAsiaTheme="minorEastAsia" w:hAnsi="Bookman Old Style"/>
                <w:sz w:val="20"/>
              </w:rPr>
            </w:pPr>
          </w:p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Variables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 w:cs="Arial"/>
                <w:b/>
                <w:sz w:val="20"/>
              </w:rPr>
            </w:pPr>
            <w:r w:rsidRPr="005D000C">
              <w:rPr>
                <w:rFonts w:ascii="Bookman Old Style" w:hAnsi="Bookman Old Style" w:cs="Arial"/>
                <w:b/>
                <w:sz w:val="20"/>
              </w:rPr>
              <w:t>Encuestas con calificación ≥ 4</w:t>
            </w:r>
          </w:p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 w:cs="Arial"/>
                <w:b/>
                <w:sz w:val="20"/>
              </w:rPr>
              <w:t>Total encuestas realizadas</w:t>
            </w:r>
          </w:p>
        </w:tc>
      </w:tr>
      <w:tr w:rsidR="000D6953" w:rsidRPr="005D000C" w:rsidTr="00382306">
        <w:trPr>
          <w:trHeight w:val="316"/>
        </w:trPr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Fuente de Información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 xml:space="preserve">Tabulación encuestas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 xml:space="preserve">Periodo de Medición 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 xml:space="preserve">Semestral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Tendencia Favorable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 xml:space="preserve">Creciente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Meta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100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Nivel de Referencia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85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Responsable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Servidor judicial asignado</w:t>
            </w:r>
          </w:p>
        </w:tc>
      </w:tr>
    </w:tbl>
    <w:p w:rsidR="000D6953" w:rsidRPr="005D000C" w:rsidRDefault="000D6953" w:rsidP="005D000C">
      <w:pPr>
        <w:rPr>
          <w:rFonts w:ascii="Bookman Old Style" w:hAnsi="Bookman Old Style"/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ITEMS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DESCRIPCIÓN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Nombre del Indicador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 xml:space="preserve">Consultas jurisprudenciales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Objetivo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jc w:val="both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Absolver las consultas jurisprudenciales oportunamente de acuerdo al grado de complejidad</w:t>
            </w:r>
          </w:p>
        </w:tc>
      </w:tr>
      <w:tr w:rsidR="000D6953" w:rsidRPr="005D000C" w:rsidTr="00382306">
        <w:trPr>
          <w:trHeight w:val="460"/>
        </w:trPr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Fórmula</w:t>
            </w:r>
          </w:p>
        </w:tc>
        <w:tc>
          <w:tcPr>
            <w:tcW w:w="6237" w:type="dxa"/>
          </w:tcPr>
          <w:p w:rsidR="000D6953" w:rsidRPr="005D000C" w:rsidRDefault="00F31500" w:rsidP="00382306">
            <w:pPr>
              <w:pStyle w:val="Prrafodelista"/>
              <w:ind w:left="0"/>
              <w:rPr>
                <w:rFonts w:ascii="Bookman Old Style" w:eastAsiaTheme="minorEastAsia" w:hAnsi="Bookman Old Style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0"/>
                      </w:rPr>
                      <m:t>No. de consultas absueltas oportunamente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</w:rPr>
                      <m:t xml:space="preserve">No. de consultas radicadas 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0"/>
                  </w:rPr>
                  <m:t>*100</m:t>
                </m:r>
              </m:oMath>
            </m:oMathPara>
          </w:p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Variables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No. De Consultas absueltas oportunamente</w:t>
            </w:r>
          </w:p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No. De Consultas radicadas</w:t>
            </w:r>
          </w:p>
        </w:tc>
      </w:tr>
      <w:tr w:rsidR="000D6953" w:rsidRPr="005D000C" w:rsidTr="00382306">
        <w:trPr>
          <w:trHeight w:val="316"/>
        </w:trPr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Fuente de Información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Formato Bitácora General de Consultas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 xml:space="preserve">Periodo de Medición 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 xml:space="preserve">Trimestral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Tendencia Favorable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Creciente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Meta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100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Nivel de Referencia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90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 xml:space="preserve">Nivel de Desagregación 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Criterio de oportunidad de acuerdo al grado de complejidad de las consultas.</w:t>
            </w:r>
          </w:p>
          <w:p w:rsidR="000D6953" w:rsidRPr="005D000C" w:rsidRDefault="000D6953" w:rsidP="00382306">
            <w:pPr>
              <w:jc w:val="both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NIVEL (1) BAJO: Hasta un (01) día siguiente al de radicación de la consulta.</w:t>
            </w:r>
          </w:p>
          <w:p w:rsidR="000D6953" w:rsidRPr="005D000C" w:rsidRDefault="000D6953" w:rsidP="00382306">
            <w:pPr>
              <w:jc w:val="both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NIVEL (2) MEDIO: Hasta cinco (05) días siguientes al de radicación de la consulta.</w:t>
            </w:r>
          </w:p>
          <w:p w:rsidR="000D6953" w:rsidRPr="005D000C" w:rsidRDefault="000D6953" w:rsidP="00382306">
            <w:pPr>
              <w:pStyle w:val="Prrafodelista"/>
              <w:ind w:left="0"/>
              <w:jc w:val="both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NIVEL (3) ALTO: Hasta diez (10) días siguientes al de radicación de la consulta.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Responsable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Servidor judicial asignado</w:t>
            </w:r>
          </w:p>
        </w:tc>
      </w:tr>
    </w:tbl>
    <w:p w:rsidR="000D6953" w:rsidRPr="00CF2FB3" w:rsidRDefault="000D6953" w:rsidP="000D6953">
      <w:pPr>
        <w:rPr>
          <w:rFonts w:ascii="Bookman Old Style" w:hAnsi="Bookman Old Style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ITEMS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DESCRIPCIÓN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Nombre del Indicador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 w:cs="Arial"/>
                <w:sz w:val="20"/>
              </w:rPr>
              <w:t xml:space="preserve">Ingreso de análisis de providencias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Objetivo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jc w:val="both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 xml:space="preserve">Ingresar </w:t>
            </w:r>
            <w:r w:rsidRPr="005D000C">
              <w:rPr>
                <w:rFonts w:ascii="Bookman Old Style" w:hAnsi="Bookman Old Style" w:cs="Arial"/>
                <w:sz w:val="20"/>
              </w:rPr>
              <w:t>datos de análisis de las providencias al  sistema de información de jurisprudencia</w:t>
            </w:r>
          </w:p>
        </w:tc>
      </w:tr>
      <w:tr w:rsidR="000D6953" w:rsidRPr="005D000C" w:rsidTr="00382306">
        <w:trPr>
          <w:trHeight w:val="460"/>
        </w:trPr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Fórmula</w:t>
            </w:r>
          </w:p>
        </w:tc>
        <w:tc>
          <w:tcPr>
            <w:tcW w:w="6237" w:type="dxa"/>
          </w:tcPr>
          <w:p w:rsidR="000D6953" w:rsidRPr="005D000C" w:rsidRDefault="00F31500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0"/>
                      </w:rPr>
                      <m:t>No. de providencias  cargadas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</w:rPr>
                      <m:t>Total de providencias radicadas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0"/>
                  </w:rPr>
                  <m:t>*100</m:t>
                </m:r>
              </m:oMath>
            </m:oMathPara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Variables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No de providencias cargadas</w:t>
            </w:r>
          </w:p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Total de providencias radicadas</w:t>
            </w:r>
          </w:p>
        </w:tc>
      </w:tr>
      <w:tr w:rsidR="000D6953" w:rsidRPr="005D000C" w:rsidTr="00382306">
        <w:trPr>
          <w:trHeight w:val="316"/>
        </w:trPr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Fuente de Información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Estadística de radicación de providencias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 xml:space="preserve">Periodo de Medición 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Trimestral o cuando se requiera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Tendencia Favorable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 xml:space="preserve">Creciente 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Meta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100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Nivel de Referencia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sz w:val="20"/>
              </w:rPr>
            </w:pPr>
            <w:r w:rsidRPr="005D000C">
              <w:rPr>
                <w:rFonts w:ascii="Bookman Old Style" w:hAnsi="Bookman Old Style"/>
                <w:sz w:val="20"/>
              </w:rPr>
              <w:t>80</w:t>
            </w:r>
          </w:p>
        </w:tc>
      </w:tr>
      <w:tr w:rsidR="000D6953" w:rsidRPr="005D000C" w:rsidTr="00382306">
        <w:tc>
          <w:tcPr>
            <w:tcW w:w="2694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>Responsable</w:t>
            </w:r>
          </w:p>
        </w:tc>
        <w:tc>
          <w:tcPr>
            <w:tcW w:w="6237" w:type="dxa"/>
          </w:tcPr>
          <w:p w:rsidR="000D6953" w:rsidRPr="005D000C" w:rsidRDefault="000D6953" w:rsidP="00382306">
            <w:pPr>
              <w:pStyle w:val="Prrafodelista"/>
              <w:ind w:left="0"/>
              <w:rPr>
                <w:rFonts w:ascii="Bookman Old Style" w:hAnsi="Bookman Old Style"/>
                <w:b/>
                <w:sz w:val="20"/>
              </w:rPr>
            </w:pPr>
            <w:r w:rsidRPr="005D000C">
              <w:rPr>
                <w:rFonts w:ascii="Bookman Old Style" w:hAnsi="Bookman Old Style"/>
                <w:b/>
                <w:sz w:val="20"/>
              </w:rPr>
              <w:t xml:space="preserve">Líder del proceso y servidor judicial encargado </w:t>
            </w:r>
          </w:p>
        </w:tc>
      </w:tr>
    </w:tbl>
    <w:p w:rsidR="000D6953" w:rsidRPr="00CF2FB3" w:rsidRDefault="000D6953" w:rsidP="000D6953">
      <w:pPr>
        <w:rPr>
          <w:rFonts w:ascii="Bookman Old Style" w:hAnsi="Bookman Old Style"/>
        </w:rPr>
      </w:pPr>
    </w:p>
    <w:p w:rsidR="000D6953" w:rsidRPr="00CF2FB3" w:rsidRDefault="000D6953" w:rsidP="000D6953">
      <w:pPr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PRODUCTO NO CONFORME</w:t>
      </w:r>
    </w:p>
    <w:p w:rsidR="000D6953" w:rsidRPr="00CF2FB3" w:rsidRDefault="000D6953" w:rsidP="000D6953">
      <w:pPr>
        <w:pStyle w:val="Prrafodelista"/>
        <w:rPr>
          <w:rFonts w:ascii="Bookman Old Style" w:hAnsi="Bookman Old Style"/>
          <w:b/>
        </w:rPr>
      </w:pPr>
    </w:p>
    <w:p w:rsidR="00F83E28" w:rsidRDefault="00F83E28" w:rsidP="0039460E">
      <w:pPr>
        <w:pStyle w:val="Prrafodelista"/>
        <w:spacing w:line="254" w:lineRule="auto"/>
        <w:ind w:left="64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Ver Formato MEF-002 Descriptor de Identificación, Liberación y Tratamiento de Productos Servicios y/o Salidas Conformes.</w:t>
      </w:r>
    </w:p>
    <w:p w:rsidR="000D6953" w:rsidRDefault="000D6953" w:rsidP="00F83E28">
      <w:pPr>
        <w:pStyle w:val="Prrafodelista"/>
        <w:ind w:left="993"/>
        <w:rPr>
          <w:rFonts w:ascii="Bookman Old Style" w:hAnsi="Bookman Old Style"/>
        </w:rPr>
      </w:pPr>
    </w:p>
    <w:p w:rsidR="005D000C" w:rsidRDefault="005D000C" w:rsidP="00F83E28">
      <w:pPr>
        <w:pStyle w:val="Prrafodelista"/>
        <w:ind w:left="993"/>
        <w:rPr>
          <w:rFonts w:ascii="Bookman Old Style" w:hAnsi="Bookman Old Style"/>
        </w:rPr>
      </w:pPr>
    </w:p>
    <w:p w:rsidR="005D000C" w:rsidRDefault="005D000C" w:rsidP="00F83E28">
      <w:pPr>
        <w:pStyle w:val="Prrafodelista"/>
        <w:ind w:left="993"/>
        <w:rPr>
          <w:rFonts w:ascii="Bookman Old Style" w:hAnsi="Bookman Old Style"/>
        </w:rPr>
      </w:pPr>
    </w:p>
    <w:p w:rsidR="005D000C" w:rsidRPr="00F83E28" w:rsidRDefault="005D000C" w:rsidP="00F83E28">
      <w:pPr>
        <w:pStyle w:val="Prrafodelista"/>
        <w:ind w:left="993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CF2FB3">
        <w:rPr>
          <w:rFonts w:ascii="Bookman Old Style" w:hAnsi="Bookman Old Style"/>
          <w:b/>
        </w:rPr>
        <w:t>PANORAMA DE RIESGOS</w:t>
      </w:r>
    </w:p>
    <w:p w:rsidR="000D6953" w:rsidRPr="00CF2FB3" w:rsidRDefault="000D6953" w:rsidP="000D6953">
      <w:pPr>
        <w:pStyle w:val="Prrafodelista"/>
        <w:ind w:left="644"/>
        <w:rPr>
          <w:rFonts w:ascii="Bookman Old Style" w:hAnsi="Bookman Old Style"/>
        </w:rPr>
      </w:pPr>
    </w:p>
    <w:p w:rsidR="003D4975" w:rsidRPr="00CF2FB3" w:rsidRDefault="003D4975" w:rsidP="003D4975">
      <w:pPr>
        <w:pStyle w:val="Prrafodelista"/>
        <w:numPr>
          <w:ilvl w:val="0"/>
          <w:numId w:val="4"/>
        </w:numPr>
        <w:spacing w:line="254" w:lineRule="auto"/>
        <w:jc w:val="both"/>
        <w:rPr>
          <w:rFonts w:ascii="Bookman Old Style" w:hAnsi="Bookman Old Style"/>
        </w:rPr>
      </w:pPr>
      <w:r w:rsidRPr="00CF2FB3">
        <w:rPr>
          <w:rFonts w:ascii="Bookman Old Style" w:hAnsi="Bookman Old Style"/>
        </w:rPr>
        <w:t>Se identifican, valoran y toman acciones para los riesgos del proceso a partir de la metodología y procedimiento establecidos. Ver Mapa de Riesgos</w:t>
      </w:r>
    </w:p>
    <w:p w:rsidR="000D6953" w:rsidRPr="00CF2FB3" w:rsidRDefault="000D6953" w:rsidP="000D6953">
      <w:pPr>
        <w:pStyle w:val="Prrafodelista"/>
        <w:ind w:left="644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ind w:left="644"/>
        <w:rPr>
          <w:rFonts w:ascii="Bookman Old Style" w:hAnsi="Bookman Old Style"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PROCEDIMIENTOS</w:t>
      </w:r>
    </w:p>
    <w:p w:rsidR="000D6953" w:rsidRPr="00CF2FB3" w:rsidRDefault="000D6953" w:rsidP="000D6953">
      <w:pPr>
        <w:pStyle w:val="Prrafodelista"/>
        <w:rPr>
          <w:rFonts w:ascii="Bookman Old Style" w:hAnsi="Bookman Old Style"/>
          <w:b/>
        </w:rPr>
      </w:pPr>
    </w:p>
    <w:p w:rsidR="000D6953" w:rsidRPr="00CF2FB3" w:rsidRDefault="000D6953" w:rsidP="000D6953">
      <w:pPr>
        <w:pStyle w:val="Prrafodelista"/>
        <w:numPr>
          <w:ilvl w:val="0"/>
          <w:numId w:val="3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 xml:space="preserve">Procedimiento de Análisis </w:t>
      </w:r>
      <w:r w:rsidR="00F83E28">
        <w:rPr>
          <w:rFonts w:ascii="Bookman Old Style" w:hAnsi="Bookman Old Style"/>
          <w:b/>
        </w:rPr>
        <w:t xml:space="preserve">y titulación </w:t>
      </w:r>
      <w:r w:rsidRPr="00CF2FB3">
        <w:rPr>
          <w:rFonts w:ascii="Bookman Old Style" w:hAnsi="Bookman Old Style"/>
          <w:b/>
        </w:rPr>
        <w:t>de providencias judiciales</w:t>
      </w:r>
    </w:p>
    <w:p w:rsidR="005527E4" w:rsidRPr="00CF2FB3" w:rsidRDefault="005527E4" w:rsidP="005527E4">
      <w:pPr>
        <w:pStyle w:val="Prrafodelista"/>
        <w:numPr>
          <w:ilvl w:val="0"/>
          <w:numId w:val="3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Procedimiento de Consulta Jurisprudencial</w:t>
      </w:r>
    </w:p>
    <w:p w:rsidR="000D6953" w:rsidRPr="00CF2FB3" w:rsidRDefault="000D6953" w:rsidP="000D6953">
      <w:pPr>
        <w:pStyle w:val="Prrafodelista"/>
        <w:numPr>
          <w:ilvl w:val="0"/>
          <w:numId w:val="3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 xml:space="preserve">Procedimiento de Divulgación de información jurisprudencial </w:t>
      </w:r>
    </w:p>
    <w:p w:rsidR="000D6953" w:rsidRPr="00CF2FB3" w:rsidRDefault="000D6953" w:rsidP="000D6953">
      <w:pPr>
        <w:pStyle w:val="Prrafodelista"/>
        <w:ind w:left="1440"/>
        <w:rPr>
          <w:rFonts w:ascii="Bookman Old Style" w:hAnsi="Bookman Old Style"/>
          <w:b/>
        </w:rPr>
      </w:pPr>
    </w:p>
    <w:p w:rsidR="000D6953" w:rsidRPr="00CF2FB3" w:rsidRDefault="000D6953" w:rsidP="000D6953">
      <w:pPr>
        <w:pStyle w:val="Prrafodelista"/>
        <w:ind w:left="1440"/>
        <w:rPr>
          <w:rFonts w:ascii="Bookman Old Style" w:hAnsi="Bookman Old Style"/>
          <w:b/>
        </w:rPr>
      </w:pPr>
    </w:p>
    <w:p w:rsidR="000D6953" w:rsidRPr="00CF2FB3" w:rsidRDefault="000D6953" w:rsidP="000D6953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CF2FB3">
        <w:rPr>
          <w:rFonts w:ascii="Bookman Old Style" w:hAnsi="Bookman Old Style"/>
          <w:b/>
        </w:rPr>
        <w:t>REQUISITO DE NORMA</w:t>
      </w:r>
    </w:p>
    <w:p w:rsidR="00F83E28" w:rsidRPr="00F83E28" w:rsidRDefault="00FD4F75" w:rsidP="00F83E28">
      <w:pPr>
        <w:ind w:left="28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</w:t>
      </w:r>
      <w:r w:rsidR="00F83E28" w:rsidRPr="00F83E28">
        <w:rPr>
          <w:rFonts w:ascii="Bookman Old Style" w:hAnsi="Bookman Old Style"/>
          <w:b/>
        </w:rPr>
        <w:t>NT</w:t>
      </w:r>
      <w:r>
        <w:rPr>
          <w:rFonts w:ascii="Bookman Old Style" w:hAnsi="Bookman Old Style"/>
          <w:b/>
        </w:rPr>
        <w:t>C-</w:t>
      </w:r>
      <w:r w:rsidR="00F83E28" w:rsidRPr="00F83E28">
        <w:rPr>
          <w:rFonts w:ascii="Bookman Old Style" w:hAnsi="Bookman Old Style"/>
          <w:b/>
        </w:rPr>
        <w:t>GP 1000:2009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4.1 Requisitos generales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4.2.3 Control de documentos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4.2.4 Control de registros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7.5 Producción y prestación del servicio 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7.5.1 Control de la producción y de la prestación del servicio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7.5. Validación de los procesos de la producción y de la prestación del servicio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7.5.3 Identificación y trazabilidad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8.2 Seguimiento y medición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8.2.1 Satisfacción del cliente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8.2.3 Seguimiento y medición de los procesos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8.2.4 Seguimiento y medición del producto y/o servicio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8.3 Control del Producto no conforme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8.4 Análisis de datos 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8.5 Mejora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8.5.1 Mejora continua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8.5.2 Acción correctiva</w:t>
      </w:r>
    </w:p>
    <w:p w:rsidR="00F83E28" w:rsidRDefault="00F83E28" w:rsidP="00F83E28">
      <w:pPr>
        <w:pStyle w:val="Sinespaciado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8.5.3 Acción preventiva </w:t>
      </w:r>
    </w:p>
    <w:p w:rsidR="00F83E28" w:rsidRDefault="00F83E28" w:rsidP="00F83E28">
      <w:pPr>
        <w:pStyle w:val="Sinespaciado"/>
        <w:ind w:left="284"/>
        <w:rPr>
          <w:rFonts w:ascii="Bookman Old Style" w:hAnsi="Bookman Old Style"/>
        </w:rPr>
      </w:pPr>
    </w:p>
    <w:p w:rsidR="00F83E28" w:rsidRPr="00A731A7" w:rsidRDefault="00FD4F75" w:rsidP="00A731A7">
      <w:pPr>
        <w:ind w:left="28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="00F83E28" w:rsidRPr="00A731A7">
        <w:rPr>
          <w:rFonts w:ascii="Bookman Old Style" w:hAnsi="Bookman Old Style"/>
          <w:b/>
        </w:rPr>
        <w:t>NTC ISO 9001:2015 y NTC ISO 14001:</w:t>
      </w:r>
      <w:r w:rsidR="007D13DC">
        <w:rPr>
          <w:rFonts w:ascii="Bookman Old Style" w:hAnsi="Bookman Old Style"/>
          <w:b/>
        </w:rPr>
        <w:t>2015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  <w:b/>
        </w:rPr>
      </w:pP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4.2  Comprensión de las necesidades y expectativas de las partes interesadas.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4.4 Sistema de Gestión de Calidad y sus Procesos.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6.1 Acciones para abordar Riesgos y Oportunidades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  <w:b/>
        </w:rPr>
      </w:pPr>
      <w:r w:rsidRPr="00F83E28">
        <w:rPr>
          <w:rFonts w:ascii="Bookman Old Style" w:hAnsi="Bookman Old Style"/>
        </w:rPr>
        <w:t>7.1 Recursos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7.5</w:t>
      </w:r>
      <w:r w:rsidRPr="00F83E28">
        <w:rPr>
          <w:rFonts w:ascii="Bookman Old Style" w:hAnsi="Bookman Old Style"/>
          <w:b/>
        </w:rPr>
        <w:t xml:space="preserve"> </w:t>
      </w:r>
      <w:r w:rsidRPr="00F83E28">
        <w:rPr>
          <w:rFonts w:ascii="Bookman Old Style" w:hAnsi="Bookman Old Style"/>
        </w:rPr>
        <w:t>Información documentada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7.5.1 Generalidades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7.5.2 Creación y actualización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7.5.3 Control de información documentada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8.5.  Producción y Provisión del Servicio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8.5.1. Control de la Producción y de la Provisión del Servicio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8.5.2. Identificación y Trazabilidad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8.5.3. Propiedad perteneciente a los clientes o proveedores externos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8.5.4. Preservación.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 xml:space="preserve">8.5.5. Actividades posteriores a la entrega 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8.5.6. Control de cambios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8.6. Liberación de los Productos y Servicios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  <w:b/>
        </w:rPr>
      </w:pPr>
      <w:r w:rsidRPr="00F83E28">
        <w:rPr>
          <w:rFonts w:ascii="Bookman Old Style" w:hAnsi="Bookman Old Style"/>
        </w:rPr>
        <w:t>8.7. Control de la Salidas No Conformes</w:t>
      </w:r>
      <w:r w:rsidRPr="00F83E28">
        <w:rPr>
          <w:rFonts w:ascii="Bookman Old Style" w:hAnsi="Bookman Old Style"/>
          <w:b/>
        </w:rPr>
        <w:t>.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9.1 Seguimiento, medición, análisis y evaluación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9.2 Auditoría interna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</w:rPr>
      </w:pPr>
      <w:r w:rsidRPr="00F83E28">
        <w:rPr>
          <w:rFonts w:ascii="Bookman Old Style" w:hAnsi="Bookman Old Style"/>
        </w:rPr>
        <w:t>10. Mejora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  <w:b/>
        </w:rPr>
      </w:pPr>
      <w:r w:rsidRPr="00F83E28">
        <w:rPr>
          <w:rFonts w:ascii="Bookman Old Style" w:hAnsi="Bookman Old Style"/>
        </w:rPr>
        <w:t>10.2. No Conformidad y Acción Correctiva</w:t>
      </w:r>
      <w:r w:rsidRPr="00F83E28">
        <w:rPr>
          <w:rFonts w:ascii="Bookman Old Style" w:hAnsi="Bookman Old Style"/>
          <w:b/>
        </w:rPr>
        <w:t>.</w:t>
      </w:r>
    </w:p>
    <w:p w:rsidR="00F83E28" w:rsidRPr="00F83E28" w:rsidRDefault="00F83E28" w:rsidP="00A731A7">
      <w:pPr>
        <w:pStyle w:val="Prrafodelista"/>
        <w:ind w:left="644"/>
        <w:rPr>
          <w:rFonts w:ascii="Bookman Old Style" w:hAnsi="Bookman Old Style"/>
          <w:b/>
        </w:rPr>
      </w:pPr>
      <w:r w:rsidRPr="00F83E28">
        <w:rPr>
          <w:rFonts w:ascii="Bookman Old Style" w:hAnsi="Bookman Old Style"/>
        </w:rPr>
        <w:t>10.3 Mejora continua</w:t>
      </w:r>
    </w:p>
    <w:p w:rsidR="00F83E28" w:rsidRDefault="00F83E28" w:rsidP="00A731A7">
      <w:pPr>
        <w:pStyle w:val="Sinespaciado"/>
        <w:ind w:left="644"/>
        <w:rPr>
          <w:rFonts w:ascii="Bookman Old Style" w:hAnsi="Bookman Old Style"/>
        </w:rPr>
      </w:pPr>
    </w:p>
    <w:p w:rsidR="006616BD" w:rsidRPr="00CF2FB3" w:rsidRDefault="006616BD">
      <w:pPr>
        <w:rPr>
          <w:rFonts w:ascii="Bookman Old Style" w:hAnsi="Bookman Old Style"/>
        </w:rPr>
      </w:pPr>
    </w:p>
    <w:sectPr w:rsidR="006616BD" w:rsidRPr="00CF2FB3" w:rsidSect="00D85506">
      <w:headerReference w:type="even" r:id="rId7"/>
      <w:headerReference w:type="default" r:id="rId8"/>
      <w:footerReference w:type="default" r:id="rId9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8D" w:rsidRDefault="00D67E8D" w:rsidP="006D0691">
      <w:pPr>
        <w:spacing w:after="0" w:line="240" w:lineRule="auto"/>
      </w:pPr>
      <w:r>
        <w:separator/>
      </w:r>
    </w:p>
  </w:endnote>
  <w:endnote w:type="continuationSeparator" w:id="0">
    <w:p w:rsidR="00D67E8D" w:rsidRDefault="00D67E8D" w:rsidP="006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66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01FA" w:rsidRDefault="00AC475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691" w:rsidRDefault="006D0691" w:rsidP="005001FA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8D" w:rsidRDefault="00D67E8D" w:rsidP="006D0691">
      <w:pPr>
        <w:spacing w:after="0" w:line="240" w:lineRule="auto"/>
      </w:pPr>
      <w:r>
        <w:separator/>
      </w:r>
    </w:p>
  </w:footnote>
  <w:footnote w:type="continuationSeparator" w:id="0">
    <w:p w:rsidR="00D67E8D" w:rsidRDefault="00D67E8D" w:rsidP="006D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06" w:rsidRDefault="000D695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953" w:rsidRDefault="000D6953" w:rsidP="000D695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453.2pt;height:169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0D6953" w:rsidRDefault="000D6953" w:rsidP="000D695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4B" w:rsidRPr="00FF17DA" w:rsidRDefault="00430FE0" w:rsidP="00430FE0">
    <w:pPr>
      <w:pStyle w:val="Encabezado"/>
      <w:tabs>
        <w:tab w:val="left" w:pos="2437"/>
        <w:tab w:val="center" w:pos="4420"/>
      </w:tabs>
      <w:rPr>
        <w:b/>
      </w:rPr>
    </w:pPr>
    <w:r>
      <w:rPr>
        <w:b/>
      </w:rPr>
      <w:tab/>
    </w:r>
    <w:r>
      <w:rPr>
        <w:b/>
      </w:rPr>
      <w:tab/>
    </w:r>
    <w:r w:rsidR="00F3150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408658" o:spid="_x0000_s2050" type="#_x0000_t136" style="position:absolute;margin-left:0;margin-top:0;width:519.3pt;height:103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OLADA"/>
          <w10:wrap anchorx="margin" anchory="margin"/>
        </v:shape>
      </w:pict>
    </w:r>
    <w:r>
      <w:rPr>
        <w:noProof/>
        <w:lang w:val="es-CO" w:eastAsia="es-CO"/>
      </w:rPr>
      <w:drawing>
        <wp:inline distT="0" distB="0" distL="0" distR="0" wp14:anchorId="78849F70" wp14:editId="12E58AEB">
          <wp:extent cx="1400175" cy="17049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vilBy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04" t="3846" r="14423" b="10096"/>
                  <a:stretch/>
                </pic:blipFill>
                <pic:spPr bwMode="auto">
                  <a:xfrm>
                    <a:off x="0" y="0"/>
                    <a:ext cx="1400178" cy="17049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A3F4B" w:rsidRPr="00060A46" w:rsidRDefault="00F31500" w:rsidP="00CA3F4B">
    <w:pPr>
      <w:pStyle w:val="Encabezado"/>
    </w:pPr>
  </w:p>
  <w:p w:rsidR="0056257E" w:rsidRDefault="00F31500" w:rsidP="0056257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8FF"/>
    <w:multiLevelType w:val="hybridMultilevel"/>
    <w:tmpl w:val="2DB26E6A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647D4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0D70"/>
    <w:multiLevelType w:val="hybridMultilevel"/>
    <w:tmpl w:val="76504F1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5C4D6C"/>
    <w:multiLevelType w:val="hybridMultilevel"/>
    <w:tmpl w:val="BE9875E6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AC619DD"/>
    <w:multiLevelType w:val="hybridMultilevel"/>
    <w:tmpl w:val="CA34C59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53"/>
    <w:rsid w:val="000A4619"/>
    <w:rsid w:val="000D6953"/>
    <w:rsid w:val="000D69FF"/>
    <w:rsid w:val="00104843"/>
    <w:rsid w:val="001225AB"/>
    <w:rsid w:val="00123772"/>
    <w:rsid w:val="00194477"/>
    <w:rsid w:val="001A1651"/>
    <w:rsid w:val="002F3A52"/>
    <w:rsid w:val="0039460E"/>
    <w:rsid w:val="003D4975"/>
    <w:rsid w:val="003F434F"/>
    <w:rsid w:val="00430FE0"/>
    <w:rsid w:val="004630E9"/>
    <w:rsid w:val="00465D00"/>
    <w:rsid w:val="004734D1"/>
    <w:rsid w:val="00496F27"/>
    <w:rsid w:val="004D06F8"/>
    <w:rsid w:val="004D7497"/>
    <w:rsid w:val="004E2D9A"/>
    <w:rsid w:val="00536B35"/>
    <w:rsid w:val="005527E4"/>
    <w:rsid w:val="0057379D"/>
    <w:rsid w:val="00592955"/>
    <w:rsid w:val="005D000C"/>
    <w:rsid w:val="006616BD"/>
    <w:rsid w:val="00670BD5"/>
    <w:rsid w:val="00695970"/>
    <w:rsid w:val="006D0691"/>
    <w:rsid w:val="007D13DC"/>
    <w:rsid w:val="0080750C"/>
    <w:rsid w:val="0083465F"/>
    <w:rsid w:val="008F3597"/>
    <w:rsid w:val="00951CDB"/>
    <w:rsid w:val="00982D77"/>
    <w:rsid w:val="009E3906"/>
    <w:rsid w:val="009E736A"/>
    <w:rsid w:val="00A731A7"/>
    <w:rsid w:val="00AC4755"/>
    <w:rsid w:val="00AF084A"/>
    <w:rsid w:val="00B44C69"/>
    <w:rsid w:val="00BC340A"/>
    <w:rsid w:val="00C0268C"/>
    <w:rsid w:val="00CC0DF0"/>
    <w:rsid w:val="00CF2FB3"/>
    <w:rsid w:val="00CF4AC7"/>
    <w:rsid w:val="00D67E8D"/>
    <w:rsid w:val="00DC1F6A"/>
    <w:rsid w:val="00E245CC"/>
    <w:rsid w:val="00E535EF"/>
    <w:rsid w:val="00EA116E"/>
    <w:rsid w:val="00EE7930"/>
    <w:rsid w:val="00F004D8"/>
    <w:rsid w:val="00F04287"/>
    <w:rsid w:val="00F31500"/>
    <w:rsid w:val="00F41F08"/>
    <w:rsid w:val="00F83E28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F2D43BFD-7D0D-43BA-A2D2-B8E1A20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5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953"/>
  </w:style>
  <w:style w:type="table" w:styleId="Tablaconcuadrcula">
    <w:name w:val="Table Grid"/>
    <w:basedOn w:val="Tablanormal"/>
    <w:uiPriority w:val="39"/>
    <w:rsid w:val="000D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695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D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D6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953"/>
  </w:style>
  <w:style w:type="paragraph" w:styleId="Sinespaciado">
    <w:name w:val="No Spacing"/>
    <w:uiPriority w:val="1"/>
    <w:qFormat/>
    <w:rsid w:val="000D695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D69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1734</Words>
  <Characters>9542</Characters>
  <Application>Microsoft Office Word</Application>
  <DocSecurity>4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Fallong E Foschini Ahumada</dc:creator>
  <cp:keywords/>
  <dc:description/>
  <cp:lastModifiedBy>Liana Abril</cp:lastModifiedBy>
  <cp:revision>2</cp:revision>
  <cp:lastPrinted>2016-07-28T17:39:00Z</cp:lastPrinted>
  <dcterms:created xsi:type="dcterms:W3CDTF">2018-07-30T19:06:00Z</dcterms:created>
  <dcterms:modified xsi:type="dcterms:W3CDTF">2018-07-30T19:06:00Z</dcterms:modified>
</cp:coreProperties>
</file>